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233FF">
      <w:pPr>
        <w:adjustRightInd w:val="0"/>
        <w:snapToGrid w:val="0"/>
        <w:spacing w:line="560" w:lineRule="exact"/>
        <w:jc w:val="left"/>
        <w:rPr>
          <w:rFonts w:ascii="仿宋_GB2312" w:hAnsi="仿宋_GB2312" w:eastAsia="仿宋_GB2312" w:cs="仿宋_GB2312"/>
          <w:color w:val="000000"/>
          <w:kern w:val="0"/>
          <w:sz w:val="32"/>
          <w:szCs w:val="32"/>
        </w:rPr>
      </w:pPr>
      <w:r>
        <w:rPr>
          <w:rFonts w:hint="eastAsia" w:ascii="黑体" w:hAnsi="黑体" w:eastAsia="黑体" w:cs="黑体"/>
          <w:sz w:val="32"/>
          <w:szCs w:val="21"/>
        </w:rPr>
        <w:t>附件</w:t>
      </w:r>
      <w:r>
        <w:rPr>
          <w:rFonts w:hint="default" w:ascii="Times New Roman" w:hAnsi="Times New Roman" w:eastAsia="仿宋_GB2312" w:cs="Times New Roman"/>
          <w:color w:val="000000"/>
          <w:kern w:val="0"/>
          <w:sz w:val="32"/>
          <w:szCs w:val="32"/>
        </w:rPr>
        <w:t>1</w:t>
      </w:r>
    </w:p>
    <w:p w14:paraId="68FD2EDB">
      <w:pPr>
        <w:adjustRightInd w:val="0"/>
        <w:snapToGrid w:val="0"/>
        <w:spacing w:line="570" w:lineRule="exact"/>
        <w:jc w:val="center"/>
        <w:rPr>
          <w:rFonts w:hint="eastAsia" w:ascii="方正小标宋简体" w:hAnsi="方正小标宋简体" w:eastAsia="方正小标宋简体" w:cs="方正小标宋简体"/>
          <w:sz w:val="44"/>
          <w:szCs w:val="44"/>
          <w:lang w:val="en-US" w:eastAsia="zh-CN"/>
        </w:rPr>
      </w:pPr>
      <w:r>
        <w:rPr>
          <w:rFonts w:hint="default" w:ascii="Times New Roman" w:hAnsi="Times New Roman" w:eastAsia="方正小标宋简体" w:cs="Times New Roman"/>
          <w:sz w:val="44"/>
          <w:szCs w:val="44"/>
          <w:lang w:val="en-US" w:eastAsia="zh-CN"/>
        </w:rPr>
        <w:t>2025</w:t>
      </w:r>
      <w:r>
        <w:rPr>
          <w:rFonts w:hint="eastAsia" w:ascii="方正小标宋简体" w:hAnsi="方正小标宋简体" w:eastAsia="方正小标宋简体" w:cs="方正小标宋简体"/>
          <w:sz w:val="44"/>
          <w:szCs w:val="44"/>
          <w:lang w:val="en-US" w:eastAsia="zh-CN"/>
        </w:rPr>
        <w:t>年度上海学校共青团工作研究</w:t>
      </w:r>
    </w:p>
    <w:p w14:paraId="665133DF">
      <w:pPr>
        <w:adjustRightInd w:val="0"/>
        <w:snapToGrid w:val="0"/>
        <w:spacing w:line="570" w:lineRule="exact"/>
        <w:jc w:val="center"/>
        <w:rPr>
          <w:rFonts w:hint="eastAsia" w:ascii="方正小标宋简体" w:hAnsi="方正小标宋简体" w:eastAsia="方正小标宋简体" w:cs="方正小标宋简体"/>
          <w:bCs/>
          <w:snapToGrid w:val="0"/>
          <w:kern w:val="0"/>
          <w:sz w:val="44"/>
          <w:szCs w:val="44"/>
        </w:rPr>
      </w:pPr>
      <w:r>
        <w:rPr>
          <w:rFonts w:hint="eastAsia" w:ascii="方正小标宋简体" w:hAnsi="方正小标宋简体" w:eastAsia="方正小标宋简体" w:cs="方正小标宋简体"/>
          <w:sz w:val="44"/>
          <w:szCs w:val="44"/>
          <w:lang w:val="en-US" w:eastAsia="zh-CN"/>
        </w:rPr>
        <w:t>“揭榜挂帅”专题选题</w:t>
      </w:r>
    </w:p>
    <w:p w14:paraId="3289813A">
      <w:pPr>
        <w:adjustRightInd w:val="0"/>
        <w:snapToGrid w:val="0"/>
        <w:spacing w:line="570" w:lineRule="exact"/>
        <w:jc w:val="center"/>
        <w:rPr>
          <w:rFonts w:hint="default" w:ascii="Times New Roman" w:hAnsi="Times New Roman" w:eastAsia="方正小标宋简体" w:cs="Times New Roman"/>
          <w:bCs/>
          <w:snapToGrid w:val="0"/>
          <w:kern w:val="0"/>
          <w:sz w:val="44"/>
          <w:szCs w:val="44"/>
        </w:rPr>
      </w:pPr>
    </w:p>
    <w:p w14:paraId="5685CD9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1.</w:t>
      </w:r>
      <w:r>
        <w:rPr>
          <w:rFonts w:hint="default" w:ascii="Times New Roman" w:hAnsi="Times New Roman" w:eastAsia="仿宋_GB2312" w:cs="Times New Roman"/>
          <w:bCs/>
          <w:snapToGrid w:val="0"/>
          <w:kern w:val="0"/>
          <w:sz w:val="32"/>
          <w:szCs w:val="32"/>
        </w:rPr>
        <w:t>共青团工作有机嵌入思政课教学主渠道机制和路径研究</w:t>
      </w:r>
    </w:p>
    <w:p w14:paraId="14C8E0B0">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2.</w:t>
      </w:r>
      <w:r>
        <w:rPr>
          <w:rFonts w:hint="default" w:ascii="Times New Roman" w:hAnsi="Times New Roman" w:eastAsia="仿宋_GB2312" w:cs="Times New Roman"/>
          <w:sz w:val="32"/>
          <w:szCs w:val="32"/>
        </w:rPr>
        <w:t>青年创新创业引领城市产业升级的路径与策略研究</w:t>
      </w:r>
    </w:p>
    <w:p w14:paraId="2692A18A">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3.</w:t>
      </w:r>
      <w:r>
        <w:rPr>
          <w:rFonts w:hint="default" w:ascii="Times New Roman" w:hAnsi="Times New Roman" w:eastAsia="仿宋_GB2312" w:cs="Times New Roman"/>
          <w:bCs/>
          <w:snapToGrid w:val="0"/>
          <w:kern w:val="0"/>
          <w:sz w:val="32"/>
          <w:szCs w:val="32"/>
        </w:rPr>
        <w:t>人工智能发展对青少年思想政治引领的挑战与机遇</w:t>
      </w:r>
      <w:r>
        <w:rPr>
          <w:rFonts w:hint="default" w:ascii="Times New Roman" w:hAnsi="Times New Roman" w:eastAsia="仿宋_GB2312" w:cs="Times New Roman"/>
          <w:bCs/>
          <w:snapToGrid w:val="0"/>
          <w:kern w:val="0"/>
          <w:sz w:val="32"/>
          <w:szCs w:val="32"/>
          <w:lang w:eastAsia="zh-CN"/>
        </w:rPr>
        <w:t>研究</w:t>
      </w:r>
    </w:p>
    <w:p w14:paraId="760F4D4E">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4.生成式人工智能参与党的创新理论面向青年宣传阐释的路径与影响研究</w:t>
      </w:r>
    </w:p>
    <w:p w14:paraId="38428C38">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5.</w:t>
      </w:r>
      <w:r>
        <w:rPr>
          <w:rFonts w:hint="default" w:ascii="Times New Roman" w:hAnsi="Times New Roman" w:eastAsia="仿宋_GB2312" w:cs="Times New Roman"/>
          <w:bCs/>
          <w:snapToGrid w:val="0"/>
          <w:kern w:val="0"/>
          <w:sz w:val="32"/>
          <w:szCs w:val="32"/>
        </w:rPr>
        <w:t>共青团参与大中小学思想政治教育一体化建设研究</w:t>
      </w:r>
    </w:p>
    <w:p w14:paraId="1723CE85">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bCs/>
          <w:snapToGrid w:val="0"/>
          <w:kern w:val="0"/>
          <w:sz w:val="32"/>
          <w:szCs w:val="32"/>
          <w:highlight w:val="none"/>
          <w:lang w:val="en-US" w:eastAsia="zh-CN"/>
        </w:rPr>
      </w:pPr>
      <w:r>
        <w:rPr>
          <w:rFonts w:hint="default" w:ascii="Times New Roman" w:hAnsi="Times New Roman" w:eastAsia="仿宋_GB2312" w:cs="Times New Roman"/>
          <w:bCs/>
          <w:snapToGrid w:val="0"/>
          <w:kern w:val="0"/>
          <w:sz w:val="32"/>
          <w:szCs w:val="32"/>
          <w:highlight w:val="none"/>
          <w:lang w:val="en-US" w:eastAsia="zh-CN"/>
        </w:rPr>
        <w:t>6.</w:t>
      </w:r>
      <w:r>
        <w:rPr>
          <w:rFonts w:hint="default" w:ascii="Times New Roman" w:hAnsi="Times New Roman" w:eastAsia="仿宋_GB2312" w:cs="Times New Roman"/>
          <w:sz w:val="32"/>
          <w:szCs w:val="32"/>
        </w:rPr>
        <w:t>青年参与城市治理与社区建设模式的创新研究</w:t>
      </w:r>
    </w:p>
    <w:p w14:paraId="7DE55730">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C74A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2025-03-21T06:30:02Z</dcterms:created>
  <dc:creator>Administrator</dc:creator>
  <cp:lastModifiedBy>LXY</cp:lastModifiedBy>
  <dcterms:modified xsi:type="dcterms:W3CDTF">2025-03-21T06:30:41Z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eyJoZGlkIjoiNWY2ZWIxYWQ0Njk3NWNmNDU5ZDU0MjVmNjQyZjQ1MzkiLCJ1c2VySWQiOiIzMTI3NjE0ODEifQ==</vt:lpwstr>
  </property>
  <property fmtid="{D5CDD505-2E9C-101B-9397-08002B2CF9AE}" pid="4" name="ICV">
    <vt:lpwstr>7FB9EEAD37C84C0A803CD98F03D30C53_12</vt:lpwstr>
  </property>
</Properties>
</file>